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89" w:rsidRDefault="00875F89"/>
    <w:p w:rsidR="003C1D26" w:rsidRDefault="003C1D26" w:rsidP="003C1D26">
      <w:pPr>
        <w:jc w:val="center"/>
        <w:rPr>
          <w:rFonts w:ascii="黑体" w:eastAsia="黑体"/>
          <w:b/>
          <w:sz w:val="28"/>
          <w:szCs w:val="28"/>
        </w:rPr>
      </w:pPr>
      <w:r w:rsidRPr="00E25C96">
        <w:rPr>
          <w:rFonts w:ascii="黑体" w:eastAsia="黑体" w:hint="eastAsia"/>
          <w:b/>
          <w:sz w:val="28"/>
          <w:szCs w:val="28"/>
        </w:rPr>
        <w:t>园艺与植物保护学院20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/>
          <w:b/>
          <w:sz w:val="28"/>
          <w:szCs w:val="28"/>
        </w:rPr>
        <w:t>7</w:t>
      </w:r>
      <w:r w:rsidRPr="00E25C96">
        <w:rPr>
          <w:rFonts w:ascii="黑体" w:eastAsia="黑体" w:hint="eastAsia"/>
          <w:b/>
          <w:sz w:val="28"/>
          <w:szCs w:val="28"/>
        </w:rPr>
        <w:t>年度</w:t>
      </w:r>
      <w:r w:rsidR="00003778">
        <w:rPr>
          <w:rFonts w:ascii="黑体" w:eastAsia="黑体" w:hint="eastAsia"/>
          <w:b/>
          <w:sz w:val="28"/>
          <w:szCs w:val="28"/>
        </w:rPr>
        <w:t>科研</w:t>
      </w:r>
      <w:r w:rsidRPr="00E25C96">
        <w:rPr>
          <w:rFonts w:ascii="黑体" w:eastAsia="黑体" w:hint="eastAsia"/>
          <w:b/>
          <w:sz w:val="28"/>
          <w:szCs w:val="28"/>
        </w:rPr>
        <w:t>成果一览</w:t>
      </w:r>
    </w:p>
    <w:p w:rsidR="003C1D26" w:rsidRPr="0046113A" w:rsidRDefault="003C1D26" w:rsidP="003C1D26">
      <w:pPr>
        <w:rPr>
          <w:rFonts w:ascii="楷体_GB2312" w:eastAsia="楷体_GB2312"/>
          <w:b/>
          <w:sz w:val="24"/>
        </w:rPr>
      </w:pPr>
    </w:p>
    <w:p w:rsidR="003C1D26" w:rsidRDefault="003C1D26" w:rsidP="003C1D26">
      <w:pPr>
        <w:ind w:leftChars="56" w:left="118" w:firstLineChars="49" w:firstLine="118"/>
        <w:rPr>
          <w:rFonts w:ascii="楷体_GB2312" w:eastAsia="楷体_GB2312" w:hAnsi="宋体" w:cs="宋体"/>
          <w:b/>
          <w:kern w:val="0"/>
          <w:sz w:val="24"/>
        </w:rPr>
      </w:pPr>
      <w:r>
        <w:rPr>
          <w:rFonts w:ascii="楷体_GB2312" w:eastAsia="楷体_GB2312" w:hAnsi="宋体" w:cs="宋体" w:hint="eastAsia"/>
          <w:b/>
          <w:kern w:val="0"/>
          <w:sz w:val="24"/>
        </w:rPr>
        <w:t>1、国家级项目</w:t>
      </w:r>
    </w:p>
    <w:p w:rsidR="003C1D26" w:rsidRDefault="003C1D26" w:rsidP="003C1D26">
      <w:pPr>
        <w:ind w:leftChars="56" w:left="118" w:firstLineChars="49" w:firstLine="118"/>
        <w:rPr>
          <w:rFonts w:ascii="楷体_GB2312" w:eastAsia="楷体_GB2312" w:hAnsi="宋体" w:cs="宋体"/>
          <w:b/>
          <w:kern w:val="0"/>
          <w:sz w:val="24"/>
        </w:rPr>
      </w:pPr>
    </w:p>
    <w:tbl>
      <w:tblPr>
        <w:tblW w:w="8651" w:type="dxa"/>
        <w:jc w:val="center"/>
        <w:tblLook w:val="04A0" w:firstRow="1" w:lastRow="0" w:firstColumn="1" w:lastColumn="0" w:noHBand="0" w:noVBand="1"/>
      </w:tblPr>
      <w:tblGrid>
        <w:gridCol w:w="864"/>
        <w:gridCol w:w="3951"/>
        <w:gridCol w:w="1285"/>
        <w:gridCol w:w="2551"/>
      </w:tblGrid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项目来源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国家农业行业体系项目(水稻)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李良俊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国家现代农业产业技术体系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二化螟谷氨酸</w:t>
            </w:r>
            <w:proofErr w:type="gramStart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门控氯离子通道</w:t>
            </w:r>
            <w:proofErr w:type="gramEnd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选择性剪接体的药理学性质和功能的比较研究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孟祥坤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国家基金青年基金项目</w:t>
            </w:r>
          </w:p>
        </w:tc>
      </w:tr>
      <w:tr w:rsidR="003C1D26" w:rsidRPr="00186655" w:rsidTr="003C1D26">
        <w:trPr>
          <w:trHeight w:val="412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赤拟谷盗钠</w:t>
            </w:r>
            <w:proofErr w:type="gramEnd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离子通道重复基因的功能比较研究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钱坤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国家基金青年基金项目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灰飞</w:t>
            </w:r>
            <w:proofErr w:type="gramStart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虱</w:t>
            </w:r>
            <w:proofErr w:type="gramEnd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微管蛋白</w:t>
            </w:r>
            <w:proofErr w:type="gramStart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及泛素</w:t>
            </w:r>
            <w:proofErr w:type="gramEnd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融合蛋白在水稻条纹病毒克服唾液腺屏障中的功能解析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沈蜜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国家基金青年基金项目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玫瑰2-苯乙醇生物合成与转录调控的分子机制研究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生利霞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国家基金面上项目</w:t>
            </w:r>
          </w:p>
        </w:tc>
      </w:tr>
      <w:tr w:rsidR="003C1D26" w:rsidRPr="00186655" w:rsidTr="003C1D26">
        <w:trPr>
          <w:trHeight w:val="391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根际聚集有益菌</w:t>
            </w:r>
            <w:proofErr w:type="gramStart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介</w:t>
            </w:r>
            <w:proofErr w:type="gramEnd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导的紫茎泽兰入侵扩张机制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杨国庆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国家基金面上项目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荧光假单胞菌FD6中</w:t>
            </w:r>
            <w:proofErr w:type="spellStart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Vfr</w:t>
            </w:r>
            <w:proofErr w:type="spellEnd"/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调控抗生素2,4-DAPG合成机制研究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张清霞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国家基金面上项目</w:t>
            </w:r>
          </w:p>
        </w:tc>
      </w:tr>
      <w:tr w:rsidR="003C1D26" w:rsidRPr="00186655" w:rsidTr="003C1D26">
        <w:trPr>
          <w:trHeight w:val="318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木质素代谢调控芍药花茎机械强度的机理研究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赵大球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国家基金面上项目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农业生态风险监测与控制技术</w:t>
            </w: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>(2016ZX08012-004)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杨益众</w:t>
            </w: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br/>
              <w:t>(子项主持)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国家重大转基因专项</w:t>
            </w:r>
          </w:p>
        </w:tc>
      </w:tr>
      <w:tr w:rsidR="003C1D26" w:rsidRPr="00186655" w:rsidTr="003C1D26">
        <w:trPr>
          <w:trHeight w:val="331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主要工业原料林高效培育与利用技术研究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王莉</w:t>
            </w:r>
            <w:r w:rsidRPr="00186655">
              <w:rPr>
                <w:rFonts w:ascii="楷体" w:eastAsia="楷体" w:hAnsi="楷体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国家重点研发计划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活体生物农药增效及有害生物生态调控机制</w:t>
            </w:r>
            <w:r w:rsidRPr="00186655">
              <w:rPr>
                <w:rFonts w:ascii="楷体" w:eastAsia="楷体" w:hAnsi="楷体" w:cs="Arial"/>
                <w:color w:val="333333"/>
                <w:kern w:val="0"/>
                <w:sz w:val="20"/>
                <w:szCs w:val="20"/>
              </w:rPr>
              <w:t>--</w:t>
            </w: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水稻二化螟重要寄生蜂高效繁育关键因子与保存调控机制的研究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杜</w:t>
            </w:r>
            <w:proofErr w:type="gramStart"/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国家重点研发计划</w:t>
            </w:r>
          </w:p>
        </w:tc>
      </w:tr>
      <w:tr w:rsidR="003C1D26" w:rsidRPr="00186655" w:rsidTr="003C1D26">
        <w:trPr>
          <w:trHeight w:val="499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20"/>
                <w:szCs w:val="20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活体生物农药增效及有害生物生态调控机制</w:t>
            </w:r>
            <w:r w:rsidRPr="00186655">
              <w:rPr>
                <w:rFonts w:ascii="楷体" w:eastAsia="楷体" w:hAnsi="楷体" w:cs="Arial"/>
                <w:color w:val="333333"/>
                <w:kern w:val="0"/>
                <w:sz w:val="20"/>
                <w:szCs w:val="20"/>
              </w:rPr>
              <w:t>--</w:t>
            </w: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营养因子调控</w:t>
            </w:r>
            <w:proofErr w:type="gramStart"/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黑肩绿盲蝽</w:t>
            </w:r>
            <w:proofErr w:type="gramEnd"/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</w:rPr>
              <w:t>生殖的作用机制研究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戈</w:t>
            </w:r>
            <w:proofErr w:type="gramEnd"/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林泉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186655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186655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国家重点研发计划</w:t>
            </w:r>
          </w:p>
        </w:tc>
      </w:tr>
    </w:tbl>
    <w:p w:rsidR="003C1D26" w:rsidRDefault="003C1D26" w:rsidP="003C1D26">
      <w:pPr>
        <w:rPr>
          <w:rFonts w:ascii="楷体_GB2312" w:eastAsia="楷体_GB2312" w:hAnsi="宋体" w:cs="宋体"/>
          <w:b/>
          <w:kern w:val="0"/>
          <w:sz w:val="24"/>
        </w:rPr>
      </w:pPr>
    </w:p>
    <w:p w:rsidR="003C1D26" w:rsidRDefault="003C1D26" w:rsidP="003C1D26">
      <w:pPr>
        <w:ind w:leftChars="56" w:left="118" w:firstLineChars="49" w:firstLine="118"/>
        <w:rPr>
          <w:rFonts w:ascii="楷体_GB2312" w:eastAsia="楷体_GB2312" w:hAnsi="宋体" w:cs="宋体"/>
          <w:b/>
          <w:kern w:val="0"/>
          <w:sz w:val="24"/>
        </w:rPr>
      </w:pPr>
      <w:r w:rsidRPr="00115C64">
        <w:rPr>
          <w:rFonts w:ascii="楷体_GB2312" w:eastAsia="楷体_GB2312" w:hAnsi="宋体" w:cs="宋体" w:hint="eastAsia"/>
          <w:b/>
          <w:kern w:val="0"/>
          <w:sz w:val="24"/>
        </w:rPr>
        <w:t>2、SCI收录论文数</w:t>
      </w:r>
    </w:p>
    <w:p w:rsidR="003C1D26" w:rsidRDefault="003C1D26" w:rsidP="003C1D26">
      <w:pPr>
        <w:ind w:leftChars="56" w:left="118" w:firstLineChars="49" w:firstLine="118"/>
        <w:rPr>
          <w:rFonts w:ascii="楷体_GB2312" w:eastAsia="楷体_GB2312" w:hAnsi="宋体" w:cs="宋体"/>
          <w:b/>
          <w:kern w:val="0"/>
          <w:sz w:val="24"/>
        </w:rPr>
      </w:pPr>
    </w:p>
    <w:tbl>
      <w:tblPr>
        <w:tblW w:w="8699" w:type="dxa"/>
        <w:jc w:val="center"/>
        <w:tblLook w:val="04A0" w:firstRow="1" w:lastRow="0" w:firstColumn="1" w:lastColumn="0" w:noHBand="0" w:noVBand="1"/>
      </w:tblPr>
      <w:tblGrid>
        <w:gridCol w:w="501"/>
        <w:gridCol w:w="2327"/>
        <w:gridCol w:w="3703"/>
        <w:gridCol w:w="776"/>
        <w:gridCol w:w="967"/>
        <w:gridCol w:w="425"/>
      </w:tblGrid>
      <w:tr w:rsidR="003C1D26" w:rsidRPr="00A60937" w:rsidTr="003C1D26">
        <w:trPr>
          <w:trHeight w:val="49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A60937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A60937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发表刊物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A60937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作者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A60937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SCI因子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A60937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European Journal of Plant Pathology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Identification and characteriza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tion of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Phytopythium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helicoides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br/>
              <w:t xml:space="preserve">causing stem rot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Shatangju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mandarin seedlings in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陈孝仁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1.478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BMC PLANT BIOLOGY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Comparative RNA-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seq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based transcriptome profiling of waterlogging response in cucumber hypocotyls reveals novel insights into the de novo adventitious root primordia initiation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BMC GENOMICS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Elucidation of the molecular responses of a cucumber segment substitution line carrying Pm5.1 and its recurrent parent triggered by powdery mildew by comparative transcriptome profiling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3.729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MOLECULAR GENETICS AND GENOMICS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Inheritance and quantitative trail loci mapping of adventitious root numbers in </w:t>
            </w: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cucumber seedlings under waterlogging conditions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lastRenderedPageBreak/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BIOLOGIA PLANTARUM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Transcription factor NnDREB1 from lotus improved drought tolerance in transgenic Arabidopsis thaliana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程立宝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1.551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ZEITSCHRIFT FUR NATURFORSCHUNG SECTION C-A JOURNAL OF BIOSCIENCES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 comparative proteomic analysis for adventitious root formation in lotus root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Nelumbo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nucifera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Gaertn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程立宝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0.835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MITOCHONDRIAL DNA PART 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Genetic differentiation of geographical populations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Liriomyza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sativae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Agromyzidae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in China based on mitochondrial COI gene sequences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3.366599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Comparative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mitogenomic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analysis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Aposthonia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borneensis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Aposthonia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japonica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Embioptera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Oligotomidae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) reveals divergent evolution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webspinners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PLOS ONE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Selection and validation of reference genes for quantitative real-time PCR analysis under different experimental conditions in the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leafminer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Liriomyza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trifolii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Agromyzidae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PLOS ONE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Cloning and expression of genes encoding heat shock proteins in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Liriomyza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trifolii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comparison with two congener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leafminer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species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The population genetic structure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Corythucha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ciliata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(Say) (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Tingidae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provides insights into its distribution and invasiveness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INTERNATIONAL JOURNAL OF MOLECULAR SCIENCES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First Mitochondrial Genome from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Nemouridae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Reveals Novel Features of the Elongated Control Region and Phylogenetic Implications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New species and a new record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Capniidae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from Xinjiang Uygur Autonomous Region of northwestern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Description of two new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Capnia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species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Capniidae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) from the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Hengduan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Mountains of southwestern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 new species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Nemoura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Nemouridae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) from Jiangsu Province, China, with new illustrations for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Nemoura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nankinensis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Wu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JOURNAL OF ECONOMIC ENTOMOLOGY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Selection and Evaluation of Reference Genes for Expression Analysis Using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qRT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-PCR in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Chilo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suppressalis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(Lepidoptera: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Pyralidae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1.824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ANNALS OF THE ENTOMOLOGICAL SOCIETY OF AMERICA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Molecular Cloning, Characterization, and Functional Analysis of Catalase in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Frankliniella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occidentalis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Thysanoptera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Thripidae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1.222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Description of the first new species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Leuctridae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from Jiangsu Province of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 new species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Sweltsa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Chloroperlidae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) from China, with a key to the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Sweltsa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males of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ANNALES DE LA SOCIETE ENTOMOLOGIQUE DE FRANCE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First record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Isocapnia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Capniidae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from China with description of a new species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0.513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First record of the genus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Soliperla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Peltoperlidae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from China with description of a new species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Description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Neoperla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yingshana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sp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nov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Perlidae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from Hubei Province of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Incomplete removal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Wolbachia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with tetracycline has two-edged reproductive effects in the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thelytokous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wasp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Encarsia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formosa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(Hymenoptera: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Aphelinidae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JOURNAL OF ECONOMIC ENTOMOLOGY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Thermotolerance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Heat-Shock Protein Gene Expression Patterns in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Bemisia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tabaci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Aleyrodidae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Mediterranean in Relation to Developmental Stage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1.824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ENTOMOLOGICA FENNICA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Aleurochiton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orientalis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Danzig, 1966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Aleyrodidae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), newly recorded from China, with a key to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puparia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of all described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Aleurochiton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species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0.353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ANNALES DE LA SOCIETE ENTOMOLOGIQUE DE FRANCE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The occurrence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Pealius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mori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(Takahashi),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Pealius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machili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Takahashi and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Paraleyrodes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minei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Iaccarino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Aleyrodidae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) infesting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Morus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alba L. in Greece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0.575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25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Two new species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Rhopalopsole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Plecoptera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Leuctridae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from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ZOOKEYS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 new species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Aleuromarginatus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Corbett, 1935 with a key and checklist of Chinese species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Aleyrodidae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25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GIGASCIENCE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Genome sequencing of the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sweetpotato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whitefly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Bemisia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tabaci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MED/Q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杜</w:t>
            </w: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予州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6.871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CHEMICAL JOURNAL OF CHINESE UNIVERSITIES-CHINESE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Preparation, Characterization and Release Properties of beta-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Cypermethrin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Microcapsules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冯建国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0.677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PHF7, a novel male gene influences female fecundity and population growth in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Nilaparvata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lugens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Stal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Delphacidae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戈</w:t>
            </w:r>
            <w:proofErr w:type="gramEnd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PLOS ONE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An adenylyl cyclase like-9 gene (NIAC9) influences growth and fecundity in the brown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planthopper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Nilaparvata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lugens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Stal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Delphacidae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戈</w:t>
            </w:r>
            <w:proofErr w:type="gramEnd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PLOSONE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An adenylyl cyclase like-9 gene (NlAC9) influences growth and fecundity in the brown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planthopper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Nilaparvata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lugens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St?l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Delphacidae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戈</w:t>
            </w:r>
            <w:proofErr w:type="gramEnd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JOURNAL OF ECONOMIC ENTOMOLOGY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Carboxylesterase Precursor (EST-1) Mediated the Fungicide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Jinggangmycin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-Suppressed Reproduction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Sogatella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furcifera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Delphacidae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戈</w:t>
            </w:r>
            <w:proofErr w:type="gramEnd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1.824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ARCHIVES OF INSECT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Silencing pyruvate kinase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NlPYK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) leads to reduced fecundity in brown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planthoppers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Nilaparvata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lugens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Stal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Delphacidae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戈</w:t>
            </w:r>
            <w:proofErr w:type="gramEnd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ARCHIVES OF VIROLOGY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Complete nucleotide sequence of a novel strain of fig fleck-associated virus from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贺振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2.058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CROP PROTECTION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Application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Beauveria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bassiana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Neoseiulus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barkeri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for improved control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Frankliniella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occidentalis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in greenhouse cucumber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贺振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1.834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PLOS ONE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Further insight into genetic variation and haplotype diversity of Cherry virus A from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贺振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JOURNAL OF INTEGRATIVE AGRICULTURE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Analysis of fig tree virus type and distribution in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贺振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1.042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25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FRONTIERS IN PLANT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Genome-Wide Identification of Circular RNAs in Arabidopsis thaliana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金飚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FRONTIERS IN PLANT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Transcriptomic Analysis Reveals Mechanisms of Sterile and Fertile Flower Differentiation and Development in Viburnum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macrocephalum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f.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keteleeri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金飚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BMC GENOMICS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miRNAs involved in the development and differentiation of fertile and sterile flowers in Viburnum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macrocephalum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f.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keteleeri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金飚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3.729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BIOCHEMICAL AND BIOPHYSICAL RESEARCH COMMUNICATIONS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Identification and characterization of novel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lncRNAs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in Arabidopsis thaliana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金飚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2.466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PEST MANAGEMENT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Inductions of reproduction and population growth in the generalist predator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Cyrtorhinus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lividipennis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Miridae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exposed to sub-lethal concentrations of insecticides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刘芳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3.253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PEST MANAGEMENT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Mechanisms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callose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deposition in rice regulated by exogenous abscisic acid and its involvement in rice resistance to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Nilaparvata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lugens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Stal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Delphacidae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刘井兰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3.253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Journal of Asia-Pacific ENTOMOLOGY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Comparative study of the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sublethal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effects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indoxacarb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on juvenile hormone titer and juvenile hormone esterase mRNA expression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Nilaparvata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lugens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Chilo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suppressalis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in rice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刘井兰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1.046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MITOCHONDRIAL DNA PART 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The complete mitochondria genome of a spiraling whitefly,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Aleurodicus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dispersus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Russell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Hemiptera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Aleyrodidae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陆明星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3.366599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MOLECULES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Characterization of the Fifth Putative Acetylcholinesterase in the Wolf Spider,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Pardosa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pseudoannulata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孟祥坤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INSECT BIOCHEMISTRY AND MOLECULAR BIOLOGY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Spider acetylcholine binding proteins: An alternative model to study the interaction between insect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nAChRs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neonicotinoids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孟祥坤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FOOD CHEMISTRY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Effects of exogenous application of CPPU, NAA and </w:t>
            </w:r>
            <w:proofErr w:type="gram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GA(</w:t>
            </w:r>
            <w:proofErr w:type="gram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4+7) on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parthenocarpy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fruit quality in cucumber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Cucumis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sativus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L.)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齐晓花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Applied Biochemistry and Biotechnology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Impro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vement in Submergence Tolerance</w:t>
            </w: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br/>
              <w:t>of Cherry Thr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ough Regulation of Carbohydrate</w:t>
            </w: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br/>
              <w:t xml:space="preserve">Metabolism and Plant Growth by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PsERF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PsCIPK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生利霞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PESTICIDE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Better cold tolerance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Bt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-resistant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Spodoptera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exigua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strain and the corresponding cold-tolerant mechanism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苏宏华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Identification and comparative profiling of miRNAs in herbaceous peony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Paeonia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lactiflora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Pall.) with red/yellow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bicoloured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flowers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SCIENTIA HORTICULTURAE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Rescue and in vitro culture of herbaceous peony immature embryos by organogenesis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1.624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SCIENTIFIC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Ameliorative effects of melatonin on dark-induced leaf senescence in gardenia (Gardenia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jasminoides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Ellis): leaf morphology, anatomy, physiology and transcriptome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 BIOTECH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Peach gum polysaccharides-based edible coatings extend shelf life of cherry tomatoes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ACTA PHYSIOLOGIAE PLANTARUM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Fatty acid composition and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PlFADs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expression related to alpha-linolenic acid biosynthesis in herbaceous peony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Paeonia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lactiflora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Pall.)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1.364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GENES &amp;amp; GENOMICS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High throughput sequencing of herbaceous peony small RNAs to screen thermo-tolerance related microRNAs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0.566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 BIOTECH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Overexpression of herbaceous peony miR156e-3p improves anthocyanin accumulation in transgenic Arabidopsis thaliana lateral branches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INTERNATIONAL JOURNAL OF AGRICULTURE AND BIOLOGY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Prohexadione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-calcium Modified Color Characteristics and Flavonoid Biosynthetic Genes Expression in Herbaceous Peony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Paeonia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lactiflora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) Flowers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proofErr w:type="gramStart"/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陶俊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0.746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PEST MANAGEMENT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Sublethal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effects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chlorantraniliprole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on juvenile hormone levels and mRNA expression of JHAMT and FPPS genes in the rice stem borer,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Chilo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suppressalis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王建军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3.253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PESTICIDE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Lack of cross-resistance between neonicotinoids and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sulfoxaflor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in field strains of Q-biotype of whitefly,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Bemisia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tabaci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, from eastern China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王建军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PESTICIDE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Jinggangmycin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-suppressed reproduction in the small brown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planthopper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(SBPH),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Laodelphax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striatellus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(Fallen), is mediated by glucose dehydrogenase (GDH)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吴进才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ENVIRONMENTAL ENTOMOLOGY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Intraguild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Predation Among Three Common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Coccinellids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Coleoptera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: Coccinellidae) in China: Detection Using DNA-Based Gut-Content Analysis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徐建祥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1.601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PLOS ONE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Identification of protoplast-isolation responsive microRNAs in Citrus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reticulata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Blanco by high-throughput sequencing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徐小勇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765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FRONTIERS IN PLANT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A Novel NAC Transcription Factor, PbeNAC1,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Pyrus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betulifolia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Confers Cold and Drought Tolerance via Interacting with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PbeDREBs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and Activating the Expression of Stress-Responsive Genes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徐小勇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4.291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PROTOPLASMA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Octanal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inhibits spore germination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Penicillium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digitatum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involving membrane peroxidation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徐小勇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PLOS ONE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The specific host plant DNA detection suggests a potential migration of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Apolygus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lucorum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from cotton to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mungbean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fields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杨益众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ENVIRONMENTAL SCIENCE AND POLLUTION RESEARCH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Isolation and identification of antifungal peptides from Bacillus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amyloliquefaciens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W10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张清霞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2.741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EMIRATES JOURNAL OF FOOD AND AGRICULTURE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Nutritional evaluation of herbaceous peony (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Paeonia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lactiflora</w:t>
            </w:r>
            <w:proofErr w:type="spellEnd"/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 xml:space="preserve"> Pall.) petals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周春华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0.494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</w:tr>
      <w:tr w:rsidR="003C1D26" w:rsidRPr="00A60937" w:rsidTr="003C1D26">
        <w:trPr>
          <w:trHeight w:val="51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0937"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PLANT DISEASE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A60937" w:rsidRDefault="003C1D26" w:rsidP="00B154E6">
            <w:pPr>
              <w:widowControl/>
              <w:spacing w:line="22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First Report of Corky Ringspot in Potatoes Caused by Tobacco rattle virus in Jiangsu Province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3C1D26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C1D26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朱峰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3.173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A60937" w:rsidRDefault="003C1D26" w:rsidP="00B154E6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A6093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</w:tr>
    </w:tbl>
    <w:p w:rsidR="003C1D26" w:rsidRPr="00115C64" w:rsidRDefault="003C1D26" w:rsidP="003C1D26">
      <w:pPr>
        <w:rPr>
          <w:rFonts w:ascii="楷体_GB2312" w:eastAsia="楷体_GB2312" w:hAnsi="宋体" w:cs="宋体"/>
          <w:b/>
          <w:kern w:val="0"/>
          <w:sz w:val="24"/>
        </w:rPr>
      </w:pPr>
    </w:p>
    <w:p w:rsidR="003C1D26" w:rsidRDefault="003C1D26" w:rsidP="003C1D26">
      <w:pPr>
        <w:ind w:leftChars="56" w:left="118" w:firstLineChars="49" w:firstLine="118"/>
        <w:rPr>
          <w:rFonts w:ascii="楷体_GB2312" w:eastAsia="楷体_GB2312" w:hAnsi="宋体" w:cs="宋体"/>
          <w:b/>
          <w:kern w:val="0"/>
          <w:sz w:val="24"/>
        </w:rPr>
      </w:pPr>
      <w:r w:rsidRPr="00115C64">
        <w:rPr>
          <w:rFonts w:ascii="楷体_GB2312" w:eastAsia="楷体_GB2312" w:hAnsi="宋体" w:cs="宋体" w:hint="eastAsia"/>
          <w:b/>
          <w:kern w:val="0"/>
          <w:sz w:val="24"/>
        </w:rPr>
        <w:t>3、专利授权</w:t>
      </w:r>
    </w:p>
    <w:p w:rsidR="003C1D26" w:rsidRDefault="003C1D26" w:rsidP="003C1D26">
      <w:pPr>
        <w:ind w:leftChars="56" w:left="118" w:firstLineChars="49" w:firstLine="118"/>
        <w:rPr>
          <w:rFonts w:ascii="楷体_GB2312" w:eastAsia="楷体_GB2312" w:hAnsi="宋体" w:cs="宋体"/>
          <w:b/>
          <w:kern w:val="0"/>
          <w:sz w:val="24"/>
        </w:rPr>
      </w:pPr>
    </w:p>
    <w:tbl>
      <w:tblPr>
        <w:tblW w:w="8651" w:type="dxa"/>
        <w:jc w:val="center"/>
        <w:tblLook w:val="04A0" w:firstRow="1" w:lastRow="0" w:firstColumn="1" w:lastColumn="0" w:noHBand="0" w:noVBand="1"/>
      </w:tblPr>
      <w:tblGrid>
        <w:gridCol w:w="513"/>
        <w:gridCol w:w="992"/>
        <w:gridCol w:w="1974"/>
        <w:gridCol w:w="2646"/>
        <w:gridCol w:w="1054"/>
        <w:gridCol w:w="1472"/>
      </w:tblGrid>
      <w:tr w:rsidR="003C1D26" w:rsidRPr="00186655" w:rsidTr="00B154E6">
        <w:trPr>
          <w:trHeight w:val="28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DF6712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DF6712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申报人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DF6712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专利号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DF6712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DF6712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D26" w:rsidRPr="00DF6712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授权日期</w:t>
            </w:r>
          </w:p>
        </w:tc>
      </w:tr>
      <w:tr w:rsidR="003C1D26" w:rsidRPr="00186655" w:rsidTr="00B154E6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赵大球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ZL201510522630.0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一种通过芍药叶片诱导愈伤组织分化的培养基及培养方法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2017.01.18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陶</w:t>
            </w:r>
            <w:r>
              <w:rPr>
                <w:rFonts w:ascii="楷体" w:eastAsia="楷体" w:hAnsi="楷体" w:cs="Arial" w:hint="eastAsia"/>
                <w:kern w:val="0"/>
                <w:sz w:val="20"/>
                <w:szCs w:val="20"/>
              </w:rPr>
              <w:t xml:space="preserve">  </w:t>
            </w: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俊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ZL201620662148.6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一种用于芍药在南方景观栽培中越夏的设施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2017.02.08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陈学好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ZL201510051396.7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与黄瓜抗白粉病紧密连锁的两个SNP标记及其应用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2017.03.08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陈小军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ZL201510450141.8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防治棉大卷叶螟的农药制剂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2017.04.05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何小弟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ZL201510364128.0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一种提高水杉大树全冠移植成活率的栽培方法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2017.05.10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杜</w:t>
            </w:r>
            <w:proofErr w:type="gramStart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ZL201510444405.9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用于扩增粉</w:t>
            </w:r>
            <w:proofErr w:type="gramStart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虱</w:t>
            </w:r>
            <w:proofErr w:type="gramEnd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科昆虫线粒体COI基因的特异性引物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2017.06.30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陶</w:t>
            </w:r>
            <w:r>
              <w:rPr>
                <w:rFonts w:ascii="楷体" w:eastAsia="楷体" w:hAnsi="楷体" w:cs="Arial" w:hint="eastAsia"/>
                <w:kern w:val="0"/>
                <w:sz w:val="20"/>
                <w:szCs w:val="20"/>
              </w:rPr>
              <w:t xml:space="preserve">  </w:t>
            </w: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俊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ZL201510525936.0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芍药叶片组织培养</w:t>
            </w:r>
            <w:proofErr w:type="gramStart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直接成芽的</w:t>
            </w:r>
            <w:proofErr w:type="gramEnd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培养基及培养方法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2017.10.13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江解增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ZL201410850067.4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</w:t>
            </w:r>
            <w:proofErr w:type="gramStart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提高湿栽水芹</w:t>
            </w:r>
            <w:proofErr w:type="gramEnd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种子产量的方法及其所用的微肥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2017.10.20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高红胜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ZL201510800063.X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一种莲藕茎尖组织</w:t>
            </w:r>
            <w:proofErr w:type="gramStart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初代培养</w:t>
            </w:r>
            <w:proofErr w:type="gramEnd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方法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2017.12.22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赵大球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ZL201720660526.1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一种可拆卸的芍药防雨棚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2017.12.22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赵大球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ZL201720660527.6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一种芍药切花采摘工具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2017.12.22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赵大球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ZL201720660175.4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一种适于牡丹、芍药等肉质根植物种植的花盆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2017.12.22</w:t>
            </w:r>
          </w:p>
        </w:tc>
      </w:tr>
      <w:tr w:rsidR="003C1D26" w:rsidRPr="00186655" w:rsidTr="00B154E6">
        <w:trPr>
          <w:trHeight w:val="64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宋体"/>
                <w:color w:val="333333"/>
                <w:kern w:val="0"/>
                <w:sz w:val="18"/>
                <w:szCs w:val="18"/>
              </w:rPr>
            </w:pPr>
            <w:r w:rsidRPr="00DF6712">
              <w:rPr>
                <w:rFonts w:ascii="楷体" w:eastAsia="楷体" w:hAnsi="楷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陈学好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ZL201510875160.5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left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与黄瓜</w:t>
            </w:r>
            <w:proofErr w:type="gramStart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短果把</w:t>
            </w:r>
            <w:proofErr w:type="gramEnd"/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紧密连锁的两个SNP标记及其应用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发明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D26" w:rsidRPr="00DF6712" w:rsidRDefault="003C1D26" w:rsidP="00B154E6">
            <w:pPr>
              <w:widowControl/>
              <w:spacing w:line="280" w:lineRule="exact"/>
              <w:jc w:val="center"/>
              <w:rPr>
                <w:rFonts w:ascii="楷体" w:eastAsia="楷体" w:hAnsi="楷体" w:cs="Arial"/>
                <w:kern w:val="0"/>
                <w:sz w:val="20"/>
                <w:szCs w:val="20"/>
              </w:rPr>
            </w:pPr>
            <w:r w:rsidRPr="00DF6712">
              <w:rPr>
                <w:rFonts w:ascii="楷体" w:eastAsia="楷体" w:hAnsi="楷体" w:cs="Arial"/>
                <w:kern w:val="0"/>
                <w:sz w:val="20"/>
                <w:szCs w:val="20"/>
              </w:rPr>
              <w:t>2017.12.29</w:t>
            </w:r>
          </w:p>
        </w:tc>
      </w:tr>
    </w:tbl>
    <w:p w:rsidR="003C1D26" w:rsidRPr="00115C64" w:rsidRDefault="003C1D26" w:rsidP="003C1D26">
      <w:pPr>
        <w:rPr>
          <w:rFonts w:ascii="楷体_GB2312" w:eastAsia="楷体_GB2312" w:hAnsi="宋体" w:cs="宋体"/>
          <w:b/>
          <w:kern w:val="0"/>
          <w:sz w:val="24"/>
        </w:rPr>
      </w:pPr>
    </w:p>
    <w:p w:rsidR="003C1D26" w:rsidRDefault="003C1D26" w:rsidP="003C1D26">
      <w:pPr>
        <w:spacing w:line="240" w:lineRule="exact"/>
        <w:rPr>
          <w:rFonts w:ascii="楷体_GB2312" w:eastAsia="楷体_GB2312" w:hAnsi="宋体" w:cs="宋体"/>
          <w:b/>
          <w:kern w:val="0"/>
          <w:sz w:val="24"/>
        </w:rPr>
      </w:pPr>
      <w:r w:rsidRPr="00DF080B">
        <w:rPr>
          <w:rFonts w:ascii="楷体_GB2312" w:eastAsia="楷体_GB2312" w:hAnsi="宋体" w:cs="宋体" w:hint="eastAsia"/>
          <w:b/>
          <w:kern w:val="0"/>
          <w:sz w:val="24"/>
        </w:rPr>
        <w:t>4、</w:t>
      </w:r>
      <w:r>
        <w:rPr>
          <w:rFonts w:ascii="楷体_GB2312" w:eastAsia="楷体_GB2312" w:hAnsi="宋体" w:cs="宋体" w:hint="eastAsia"/>
          <w:b/>
          <w:kern w:val="0"/>
          <w:sz w:val="24"/>
        </w:rPr>
        <w:t>科技成果获奖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896"/>
        <w:gridCol w:w="1640"/>
        <w:gridCol w:w="2000"/>
        <w:gridCol w:w="1080"/>
      </w:tblGrid>
      <w:tr w:rsidR="003C1D26" w:rsidRPr="00DF080B" w:rsidTr="00B154E6">
        <w:trPr>
          <w:trHeight w:val="600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完成人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获奖种类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等级</w:t>
            </w:r>
          </w:p>
        </w:tc>
      </w:tr>
      <w:tr w:rsidR="003C1D26" w:rsidRPr="00DF080B" w:rsidTr="00B154E6">
        <w:trPr>
          <w:trHeight w:val="600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水生蔬菜产业技术体系研究与示范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李良俊</w:t>
            </w: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br/>
              <w:t>（第二完成人）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湖北省科学技术奖</w:t>
            </w: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br/>
              <w:t>（第二完成单位）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一等奖</w:t>
            </w:r>
          </w:p>
        </w:tc>
      </w:tr>
      <w:tr w:rsidR="003C1D26" w:rsidRPr="00DF080B" w:rsidTr="00B154E6">
        <w:trPr>
          <w:trHeight w:val="600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北美彩色叶</w:t>
            </w:r>
            <w:proofErr w:type="gramStart"/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树种引繁及</w:t>
            </w:r>
            <w:proofErr w:type="gramEnd"/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新品种选育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何小弟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中国商业联合会科学技术奖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二等奖</w:t>
            </w:r>
          </w:p>
        </w:tc>
      </w:tr>
      <w:tr w:rsidR="003C1D26" w:rsidRPr="00DF080B" w:rsidTr="00B154E6">
        <w:trPr>
          <w:trHeight w:val="600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289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芍药种质创新及其产业化关键技术研发与应用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proofErr w:type="gramStart"/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陶俊</w:t>
            </w:r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中国商业联合会科学技术奖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一等奖</w:t>
            </w:r>
          </w:p>
        </w:tc>
      </w:tr>
      <w:tr w:rsidR="003C1D26" w:rsidRPr="008E247E" w:rsidTr="00B154E6">
        <w:trPr>
          <w:trHeight w:val="600"/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3C1D26" w:rsidRPr="008E247E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E247E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C1D26" w:rsidRPr="008E247E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8E247E">
              <w:rPr>
                <w:rFonts w:ascii="楷体" w:eastAsia="楷体" w:hAnsi="楷体" w:cs="宋体" w:hint="eastAsia"/>
                <w:kern w:val="0"/>
                <w:szCs w:val="21"/>
              </w:rPr>
              <w:t>水稻重要病害绿色防控技术集成和植保专业化服务模式创新与推广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C1D26" w:rsidRPr="008E247E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proofErr w:type="gramStart"/>
            <w:r w:rsidRPr="008E247E">
              <w:rPr>
                <w:rFonts w:ascii="楷体" w:eastAsia="楷体" w:hAnsi="楷体" w:cs="宋体" w:hint="eastAsia"/>
                <w:kern w:val="0"/>
                <w:szCs w:val="21"/>
              </w:rPr>
              <w:t>陈夕军</w:t>
            </w:r>
            <w:proofErr w:type="gramEnd"/>
          </w:p>
        </w:tc>
        <w:tc>
          <w:tcPr>
            <w:tcW w:w="2000" w:type="dxa"/>
            <w:shd w:val="clear" w:color="auto" w:fill="auto"/>
            <w:vAlign w:val="center"/>
          </w:tcPr>
          <w:p w:rsidR="003C1D26" w:rsidRPr="008E247E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E247E">
              <w:rPr>
                <w:rFonts w:ascii="楷体" w:eastAsia="楷体" w:hAnsi="楷体" w:cs="宋体" w:hint="eastAsia"/>
                <w:kern w:val="0"/>
                <w:szCs w:val="21"/>
              </w:rPr>
              <w:t>扬州市科技进步奖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（</w:t>
            </w: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排名3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1D26" w:rsidRPr="008E247E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8E247E">
              <w:rPr>
                <w:rFonts w:ascii="楷体" w:eastAsia="楷体" w:hAnsi="楷体" w:cs="宋体" w:hint="eastAsia"/>
                <w:kern w:val="0"/>
                <w:szCs w:val="21"/>
              </w:rPr>
              <w:t>三等奖</w:t>
            </w:r>
          </w:p>
        </w:tc>
      </w:tr>
      <w:tr w:rsidR="003C1D26" w:rsidRPr="00EF16DF" w:rsidTr="00B154E6">
        <w:trPr>
          <w:trHeight w:val="600"/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5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江苏地区设施蔬菜烟粉</w:t>
            </w:r>
            <w:proofErr w:type="gramStart"/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虱</w:t>
            </w:r>
            <w:proofErr w:type="gramEnd"/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的绿色防控技术及应用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周福才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中国商业联合会科学技术奖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二等奖</w:t>
            </w:r>
          </w:p>
        </w:tc>
      </w:tr>
      <w:tr w:rsidR="003C1D26" w:rsidRPr="00EF16DF" w:rsidTr="00B154E6">
        <w:trPr>
          <w:trHeight w:val="600"/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茄果类蔬菜重大病虫害绿色防控技术集成与推广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周福才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江苏省农业科技成果推广奖（排名3）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1D26" w:rsidRPr="00EF16DF" w:rsidRDefault="003C1D26" w:rsidP="00B154E6">
            <w:pPr>
              <w:widowControl/>
              <w:spacing w:line="24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EF16DF">
              <w:rPr>
                <w:rFonts w:ascii="楷体" w:eastAsia="楷体" w:hAnsi="楷体" w:cs="宋体" w:hint="eastAsia"/>
                <w:kern w:val="0"/>
                <w:szCs w:val="21"/>
              </w:rPr>
              <w:t>二等奖</w:t>
            </w:r>
          </w:p>
        </w:tc>
      </w:tr>
    </w:tbl>
    <w:p w:rsidR="003C1D26" w:rsidRPr="00DF080B" w:rsidRDefault="003C1D26" w:rsidP="003C1D26">
      <w:pPr>
        <w:spacing w:line="240" w:lineRule="exact"/>
        <w:rPr>
          <w:rFonts w:ascii="楷体_GB2312" w:eastAsia="楷体_GB2312" w:hAnsi="宋体" w:cs="宋体"/>
          <w:b/>
          <w:kern w:val="0"/>
          <w:sz w:val="24"/>
        </w:rPr>
      </w:pPr>
    </w:p>
    <w:p w:rsidR="003C1D26" w:rsidRDefault="003C1D26" w:rsidP="003C1D26">
      <w:pPr>
        <w:spacing w:line="240" w:lineRule="exact"/>
        <w:rPr>
          <w:rFonts w:ascii="楷体_GB2312" w:eastAsia="楷体_GB2312" w:hAnsi="宋体" w:cs="宋体"/>
          <w:b/>
          <w:kern w:val="0"/>
          <w:sz w:val="24"/>
        </w:rPr>
      </w:pPr>
      <w:r w:rsidRPr="00DF080B">
        <w:rPr>
          <w:rFonts w:ascii="楷体_GB2312" w:eastAsia="楷体_GB2312" w:hAnsi="宋体" w:cs="宋体"/>
          <w:b/>
          <w:kern w:val="0"/>
          <w:sz w:val="24"/>
        </w:rPr>
        <w:t>5、</w:t>
      </w:r>
      <w:r>
        <w:rPr>
          <w:rFonts w:ascii="楷体_GB2312" w:eastAsia="楷体_GB2312" w:hAnsi="宋体" w:cs="宋体" w:hint="eastAsia"/>
          <w:b/>
          <w:kern w:val="0"/>
          <w:sz w:val="24"/>
        </w:rPr>
        <w:t>省优秀硕士论文</w:t>
      </w: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179"/>
        <w:gridCol w:w="1174"/>
        <w:gridCol w:w="1526"/>
        <w:gridCol w:w="1686"/>
      </w:tblGrid>
      <w:tr w:rsidR="003C1D26" w:rsidRPr="00DF080B" w:rsidTr="00B154E6">
        <w:trPr>
          <w:trHeight w:val="542"/>
          <w:jc w:val="center"/>
        </w:trPr>
        <w:tc>
          <w:tcPr>
            <w:tcW w:w="877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79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论文题目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作者姓名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导师</w:t>
            </w:r>
          </w:p>
        </w:tc>
      </w:tr>
      <w:tr w:rsidR="003C1D26" w:rsidRPr="00DF080B" w:rsidTr="00B154E6">
        <w:trPr>
          <w:trHeight w:val="499"/>
          <w:jc w:val="center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DF080B">
              <w:rPr>
                <w:rFonts w:ascii="楷体" w:eastAsia="楷体" w:hAnsi="楷体"/>
                <w:kern w:val="0"/>
                <w:szCs w:val="21"/>
              </w:rPr>
              <w:t>1</w:t>
            </w:r>
          </w:p>
        </w:tc>
        <w:tc>
          <w:tcPr>
            <w:tcW w:w="3179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水稻大螟种群遗传结构研究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汤小天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省优硕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3C1D26" w:rsidRPr="00DF080B" w:rsidRDefault="003C1D26" w:rsidP="00B154E6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杜</w:t>
            </w:r>
            <w:proofErr w:type="gramStart"/>
            <w:r w:rsidRPr="00DF080B">
              <w:rPr>
                <w:rFonts w:ascii="楷体" w:eastAsia="楷体" w:hAnsi="楷体" w:cs="宋体" w:hint="eastAsia"/>
                <w:kern w:val="0"/>
                <w:szCs w:val="21"/>
              </w:rPr>
              <w:t>予州</w:t>
            </w:r>
            <w:proofErr w:type="gramEnd"/>
          </w:p>
        </w:tc>
      </w:tr>
    </w:tbl>
    <w:p w:rsidR="003C1D26" w:rsidRPr="003C1D26" w:rsidRDefault="003C1D26" w:rsidP="00003778">
      <w:pPr>
        <w:spacing w:line="240" w:lineRule="exact"/>
      </w:pPr>
      <w:bookmarkStart w:id="0" w:name="_GoBack"/>
      <w:bookmarkEnd w:id="0"/>
    </w:p>
    <w:sectPr w:rsidR="003C1D26" w:rsidRPr="003C1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66D4"/>
    <w:multiLevelType w:val="hybridMultilevel"/>
    <w:tmpl w:val="C19E79FE"/>
    <w:lvl w:ilvl="0" w:tplc="651C5D0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63199"/>
    <w:multiLevelType w:val="hybridMultilevel"/>
    <w:tmpl w:val="E1424E8C"/>
    <w:lvl w:ilvl="0" w:tplc="EE54A0E4">
      <w:start w:val="8"/>
      <w:numFmt w:val="japaneseCounting"/>
      <w:lvlText w:val="%1、"/>
      <w:lvlJc w:val="left"/>
      <w:pPr>
        <w:ind w:left="720" w:hanging="720"/>
      </w:pPr>
      <w:rPr>
        <w:rFonts w:hAnsi="华文中宋" w:hint="default"/>
      </w:rPr>
    </w:lvl>
    <w:lvl w:ilvl="1" w:tplc="BB30CAFA">
      <w:start w:val="7"/>
      <w:numFmt w:val="decimal"/>
      <w:lvlText w:val="%2、"/>
      <w:lvlJc w:val="left"/>
      <w:pPr>
        <w:ind w:left="8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E32E59"/>
    <w:multiLevelType w:val="singleLevel"/>
    <w:tmpl w:val="7DE32E59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26"/>
    <w:rsid w:val="00003778"/>
    <w:rsid w:val="003C1D26"/>
    <w:rsid w:val="008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92F5F-B833-4249-BCA0-D0759E2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3C1D26"/>
    <w:pPr>
      <w:spacing w:line="480" w:lineRule="exact"/>
      <w:ind w:firstLineChars="200" w:firstLine="480"/>
    </w:pPr>
    <w:rPr>
      <w:sz w:val="24"/>
    </w:rPr>
  </w:style>
  <w:style w:type="character" w:customStyle="1" w:styleId="3Char">
    <w:name w:val="正文文本缩进 3 Char"/>
    <w:basedOn w:val="a0"/>
    <w:link w:val="3"/>
    <w:rsid w:val="003C1D2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2015</Words>
  <Characters>11487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2018-06-23T11:38:00Z</dcterms:created>
  <dcterms:modified xsi:type="dcterms:W3CDTF">2018-06-23T11:38:00Z</dcterms:modified>
</cp:coreProperties>
</file>